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4D9" w:rsidRPr="003C14D9" w:rsidRDefault="003C14D9" w:rsidP="003C14D9">
      <w:pPr>
        <w:shd w:val="clear" w:color="auto" w:fill="FFFFFF"/>
        <w:spacing w:after="360" w:line="240" w:lineRule="auto"/>
        <w:rPr>
          <w:rFonts w:eastAsia="Times New Roman"/>
          <w:color w:val="141412"/>
        </w:rPr>
      </w:pPr>
      <w:r w:rsidRPr="003C14D9">
        <w:rPr>
          <w:rFonts w:eastAsia="Times New Roman"/>
          <w:bCs/>
          <w:color w:val="141412"/>
        </w:rPr>
        <w:t xml:space="preserve">Ogólne zasady gospodarowania na obszarach Natura 2000 </w:t>
      </w:r>
      <w:r>
        <w:rPr>
          <w:rFonts w:eastAsia="Times New Roman"/>
          <w:bCs/>
          <w:color w:val="141412"/>
        </w:rPr>
        <w:t>…</w:t>
      </w:r>
    </w:p>
    <w:p w:rsidR="003C14D9" w:rsidRPr="003C14D9" w:rsidRDefault="003C14D9" w:rsidP="003C14D9">
      <w:pPr>
        <w:shd w:val="clear" w:color="auto" w:fill="FFFFFF"/>
        <w:spacing w:after="0" w:line="240" w:lineRule="auto"/>
        <w:rPr>
          <w:rFonts w:eastAsia="Times New Roman"/>
          <w:color w:val="141412"/>
        </w:rPr>
      </w:pPr>
      <w:r w:rsidRPr="003C14D9">
        <w:rPr>
          <w:rFonts w:eastAsia="Times New Roman"/>
          <w:color w:val="141412"/>
        </w:rPr>
        <w:t xml:space="preserve">Zgodnie z zapisanymi w art. 33 ustawy o ochronie przyrody generalnymi zasadami postępowania na obszarach Natura 2000, </w:t>
      </w:r>
      <w:r w:rsidRPr="003C14D9">
        <w:rPr>
          <w:rFonts w:eastAsia="Times New Roman"/>
          <w:bCs/>
          <w:color w:val="141412"/>
        </w:rPr>
        <w:t>zabrania się podejmowania działań mogących znacząco negatywnie oddziaływać na cele ochrony obszaru Natura 2000</w:t>
      </w:r>
      <w:r w:rsidRPr="003C14D9">
        <w:rPr>
          <w:rFonts w:eastAsia="Times New Roman"/>
          <w:color w:val="141412"/>
        </w:rPr>
        <w:t>, w tym w szczególności mogących:</w:t>
      </w:r>
    </w:p>
    <w:p w:rsidR="003C14D9" w:rsidRPr="003C14D9" w:rsidRDefault="003C14D9" w:rsidP="003C14D9">
      <w:pPr>
        <w:numPr>
          <w:ilvl w:val="0"/>
          <w:numId w:val="2"/>
        </w:numPr>
        <w:shd w:val="clear" w:color="auto" w:fill="FFFFFF"/>
        <w:spacing w:after="0" w:line="240" w:lineRule="auto"/>
        <w:rPr>
          <w:rFonts w:eastAsia="Times New Roman"/>
          <w:color w:val="141412"/>
        </w:rPr>
      </w:pPr>
      <w:r w:rsidRPr="003C14D9">
        <w:rPr>
          <w:rFonts w:eastAsia="Times New Roman"/>
          <w:color w:val="141412"/>
        </w:rPr>
        <w:t xml:space="preserve">pogorszyć stan siedlisk przyrodniczych lub siedlisk gatunków roślin i zwierząt, </w:t>
      </w:r>
    </w:p>
    <w:p w:rsidR="003C14D9" w:rsidRPr="003C14D9" w:rsidRDefault="003C14D9" w:rsidP="003C14D9">
      <w:pPr>
        <w:numPr>
          <w:ilvl w:val="0"/>
          <w:numId w:val="2"/>
        </w:numPr>
        <w:shd w:val="clear" w:color="auto" w:fill="FFFFFF"/>
        <w:spacing w:after="0" w:line="240" w:lineRule="auto"/>
        <w:rPr>
          <w:rFonts w:eastAsia="Times New Roman"/>
          <w:color w:val="141412"/>
        </w:rPr>
      </w:pPr>
      <w:r w:rsidRPr="003C14D9">
        <w:rPr>
          <w:rFonts w:eastAsia="Times New Roman"/>
          <w:color w:val="141412"/>
        </w:rPr>
        <w:t xml:space="preserve">wpłynąć negatywnie na gatunki, </w:t>
      </w:r>
    </w:p>
    <w:p w:rsidR="003C14D9" w:rsidRDefault="003C14D9" w:rsidP="003C14D9">
      <w:pPr>
        <w:numPr>
          <w:ilvl w:val="0"/>
          <w:numId w:val="2"/>
        </w:numPr>
        <w:shd w:val="clear" w:color="auto" w:fill="FFFFFF"/>
        <w:spacing w:after="0" w:line="240" w:lineRule="auto"/>
        <w:rPr>
          <w:rFonts w:eastAsia="Times New Roman"/>
          <w:color w:val="141412"/>
        </w:rPr>
      </w:pPr>
      <w:r w:rsidRPr="003C14D9">
        <w:rPr>
          <w:rFonts w:eastAsia="Times New Roman"/>
          <w:color w:val="141412"/>
        </w:rPr>
        <w:t>pogorszyć integralność obszaru.</w:t>
      </w:r>
    </w:p>
    <w:p w:rsidR="003C14D9" w:rsidRPr="003C14D9" w:rsidRDefault="003C14D9" w:rsidP="003C14D9">
      <w:pPr>
        <w:shd w:val="clear" w:color="auto" w:fill="FFFFFF"/>
        <w:spacing w:after="0" w:line="240" w:lineRule="auto"/>
        <w:ind w:left="360"/>
        <w:rPr>
          <w:rFonts w:eastAsia="Times New Roman"/>
          <w:color w:val="141412"/>
        </w:rPr>
      </w:pPr>
    </w:p>
    <w:p w:rsidR="003C14D9" w:rsidRDefault="003C14D9" w:rsidP="003C14D9">
      <w:pPr>
        <w:shd w:val="clear" w:color="auto" w:fill="FFFFFF"/>
        <w:spacing w:after="0" w:line="240" w:lineRule="auto"/>
        <w:rPr>
          <w:rFonts w:eastAsia="Times New Roman"/>
          <w:color w:val="141412"/>
        </w:rPr>
      </w:pPr>
      <w:r w:rsidRPr="003C14D9">
        <w:rPr>
          <w:rFonts w:eastAsia="Times New Roman"/>
          <w:color w:val="141412"/>
        </w:rPr>
        <w:t>Najważniejszą zasadą odnoszącą się do obszarów Natura 2000 jest zakaz podejmowania działań mogących znacząco negatywnie oddziaływać na stan przyrody na tych obszarach. Co istotne, zasadę tę stosuje się nie tylko do już zatwierdzonych obszarów, ale również do projektowanych obszarów Natura 2000, znajdujących się zarówno na oficjalnej liście opracowanej przez Ministra Środowiska, jak i na innych listach zgłoszonych do Komisji Europejskiej</w:t>
      </w:r>
      <w:r>
        <w:rPr>
          <w:rFonts w:eastAsia="Times New Roman"/>
          <w:color w:val="141412"/>
        </w:rPr>
        <w:t xml:space="preserve">, tzw. </w:t>
      </w:r>
      <w:proofErr w:type="spellStart"/>
      <w:r w:rsidRPr="003C14D9">
        <w:rPr>
          <w:rFonts w:eastAsia="Times New Roman"/>
          <w:i/>
          <w:iCs/>
          <w:color w:val="141412"/>
        </w:rPr>
        <w:t>shadow</w:t>
      </w:r>
      <w:proofErr w:type="spellEnd"/>
      <w:r w:rsidRPr="003C14D9">
        <w:rPr>
          <w:rFonts w:eastAsia="Times New Roman"/>
          <w:i/>
          <w:iCs/>
          <w:color w:val="141412"/>
        </w:rPr>
        <w:t xml:space="preserve"> </w:t>
      </w:r>
      <w:proofErr w:type="spellStart"/>
      <w:r w:rsidRPr="003C14D9">
        <w:rPr>
          <w:rFonts w:eastAsia="Times New Roman"/>
          <w:i/>
          <w:iCs/>
          <w:color w:val="141412"/>
        </w:rPr>
        <w:t>lists</w:t>
      </w:r>
      <w:proofErr w:type="spellEnd"/>
      <w:r>
        <w:rPr>
          <w:rFonts w:eastAsia="Times New Roman"/>
          <w:i/>
          <w:iCs/>
          <w:color w:val="141412"/>
        </w:rPr>
        <w:t xml:space="preserve"> </w:t>
      </w:r>
      <w:r w:rsidRPr="003C14D9">
        <w:rPr>
          <w:rFonts w:eastAsia="Times New Roman"/>
          <w:color w:val="141412"/>
        </w:rPr>
        <w:t>przygotowywane przez organizacje pozarządowe</w:t>
      </w:r>
      <w:r>
        <w:rPr>
          <w:rFonts w:eastAsia="Times New Roman"/>
          <w:color w:val="141412"/>
        </w:rPr>
        <w:t>.</w:t>
      </w:r>
      <w:r w:rsidRPr="003C14D9">
        <w:rPr>
          <w:rFonts w:eastAsia="Times New Roman"/>
          <w:color w:val="141412"/>
        </w:rPr>
        <w:t xml:space="preserve"> Wprawdzie zgodnie z dosłownym brzmieniem przepisów ustawy zakaz ten rozciąga się wyłącznie na obszary z list zgłoszonych przez Ministra Środowiska, to jednak – zgodnie ze stanowiskiem Ministra Środowiska z maja 2005 r. i zgodnie z literą i duchem dyrektywy „siedliskowej”, a także stanowiskiem prezentowanym w tej sprawie przez Komisję Europejską – obowiązek ten dotyczy wszystkich obszarów, niezależnie od tego, jaki podmiot dokonał zgłoszenia.</w:t>
      </w:r>
      <w:r>
        <w:rPr>
          <w:rFonts w:eastAsia="Times New Roman"/>
          <w:color w:val="141412"/>
        </w:rPr>
        <w:t xml:space="preserve"> </w:t>
      </w:r>
    </w:p>
    <w:p w:rsidR="003C14D9" w:rsidRDefault="003C14D9" w:rsidP="003C14D9">
      <w:pPr>
        <w:shd w:val="clear" w:color="auto" w:fill="FFFFFF"/>
        <w:spacing w:after="0" w:line="240" w:lineRule="auto"/>
        <w:rPr>
          <w:rFonts w:eastAsia="Times New Roman"/>
          <w:color w:val="141412"/>
        </w:rPr>
      </w:pPr>
    </w:p>
    <w:p w:rsidR="003C14D9" w:rsidRDefault="003C14D9" w:rsidP="003C14D9">
      <w:pPr>
        <w:shd w:val="clear" w:color="auto" w:fill="FFFFFF"/>
        <w:spacing w:after="0" w:line="240" w:lineRule="auto"/>
        <w:rPr>
          <w:rFonts w:eastAsia="Times New Roman"/>
          <w:color w:val="141412"/>
        </w:rPr>
      </w:pPr>
      <w:r w:rsidRPr="003C14D9">
        <w:rPr>
          <w:rFonts w:eastAsia="Times New Roman"/>
          <w:color w:val="141412"/>
        </w:rPr>
        <w:t>Zakaz odnoszący się do obszarów projektowanych obowiązuje do czasu odmowy ich zatwierdzenia albo do czasu zatwierdzenia ich przez Komisję Europejską jako obszary Natura 2000 i formalnego ich wyznaczenia w Polsce przez Ministra Środowiska poprzez wydanie odpowiedniego rozporządzenia.</w:t>
      </w:r>
      <w:r>
        <w:rPr>
          <w:rFonts w:eastAsia="Times New Roman"/>
          <w:color w:val="141412"/>
        </w:rPr>
        <w:t xml:space="preserve"> </w:t>
      </w:r>
      <w:r w:rsidRPr="003C14D9">
        <w:rPr>
          <w:rFonts w:eastAsia="Times New Roman"/>
          <w:color w:val="141412"/>
        </w:rPr>
        <w:t>Istotnym ustaleniem odnoszącym się do ochrony obszarów Natura 2000 jest to, że rozpatrywanie negatywnego oddziaływania na obszary Natura 2000 ma być dokonywane w szerszym kontekście – nie tylko poprzez ocenę wpływu pojedynczych działań, ale także poprzez rozpatrywanie kumulacji oddziaływań różnych planowanych działań.</w:t>
      </w:r>
    </w:p>
    <w:p w:rsidR="003C14D9" w:rsidRPr="003C14D9" w:rsidRDefault="003C14D9" w:rsidP="003C14D9">
      <w:pPr>
        <w:shd w:val="clear" w:color="auto" w:fill="FFFFFF"/>
        <w:spacing w:after="0" w:line="240" w:lineRule="auto"/>
        <w:rPr>
          <w:rFonts w:eastAsia="Times New Roman"/>
          <w:color w:val="141412"/>
        </w:rPr>
      </w:pPr>
    </w:p>
    <w:p w:rsidR="003C14D9" w:rsidRPr="003C14D9" w:rsidRDefault="003C14D9" w:rsidP="003C14D9">
      <w:pPr>
        <w:shd w:val="clear" w:color="auto" w:fill="FFFFFF"/>
        <w:spacing w:after="360" w:line="240" w:lineRule="auto"/>
        <w:rPr>
          <w:rFonts w:eastAsia="Times New Roman"/>
          <w:color w:val="141412"/>
        </w:rPr>
      </w:pPr>
      <w:r w:rsidRPr="003C14D9">
        <w:rPr>
          <w:rFonts w:eastAsia="Times New Roman"/>
          <w:color w:val="141412"/>
        </w:rPr>
        <w:t xml:space="preserve">Skutkiem zakazu negatywnego oddziaływania na siedliska i gatunki chronione na danym obszarze Natura 2000 jest konieczność każdorazowego poddawania projektowanych przedsięwzięć, i projektowanych dokumentów strategicznych, procedurze nazywanej oceną oddziaływania na środowisko i dokonanie w niej oceny wpływu projektowanych przedsięwzięć i rozwiązań zapisanych w projektowanych dokumentach strategicznych na te siedliska i gatunki, dla ochrony których powołano obszar Natura 2000 oraz oceny integralności obszaru Natura 2000 i spójności sieci Natura 2000 (tzw. oceny </w:t>
      </w:r>
      <w:proofErr w:type="spellStart"/>
      <w:r w:rsidRPr="003C14D9">
        <w:rPr>
          <w:rFonts w:eastAsia="Times New Roman"/>
          <w:color w:val="141412"/>
        </w:rPr>
        <w:t>habitatowej</w:t>
      </w:r>
      <w:proofErr w:type="spellEnd"/>
      <w:r w:rsidRPr="003C14D9">
        <w:rPr>
          <w:rFonts w:eastAsia="Times New Roman"/>
          <w:color w:val="141412"/>
        </w:rPr>
        <w:t>).</w:t>
      </w:r>
    </w:p>
    <w:p w:rsidR="003C14D9" w:rsidRPr="003C14D9" w:rsidRDefault="003C14D9" w:rsidP="003C14D9">
      <w:pPr>
        <w:shd w:val="clear" w:color="auto" w:fill="FFFFFF"/>
        <w:spacing w:after="360" w:line="240" w:lineRule="auto"/>
        <w:rPr>
          <w:rFonts w:eastAsia="Times New Roman"/>
          <w:color w:val="141412"/>
        </w:rPr>
      </w:pPr>
      <w:r w:rsidRPr="003C14D9">
        <w:rPr>
          <w:rFonts w:eastAsia="Times New Roman"/>
          <w:color w:val="141412"/>
        </w:rPr>
        <w:t xml:space="preserve">Należy się liczyć z tym, że jeżeli działania na obszarze Natura 2000 zostaną (lub zostały) podjęte bez przeprowadzenia postępowania w sprawie oceny oddziaływania na środowisko, o którym mowa w art. 33 ust. 3 ustawy o ochronie przyrody, to właściwy organ nakazuje ich natychmiastowe wstrzymanie i podjęcie, w wyznaczonym terminie, niezbędnych czynności w celu przywrócenia poprzedniego stanu danego obszaru, jego części lub chronionych na nim gatunków. Umyślne nieprzestrzeganie zakazów obowiązujących na obszarach Natura 2000 jest traktowane jako wykroczenie zagrożone karą aresztu lub grzywną. Orzekanie w tych sprawach następuje na podstawie przepisów </w:t>
      </w:r>
      <w:r w:rsidRPr="003C14D9">
        <w:rPr>
          <w:rFonts w:eastAsia="Times New Roman"/>
          <w:i/>
          <w:iCs/>
          <w:color w:val="141412"/>
        </w:rPr>
        <w:t>Kodeksu postępowania w sprawach o wykroczenia</w:t>
      </w:r>
      <w:r w:rsidRPr="003C14D9">
        <w:rPr>
          <w:rFonts w:eastAsia="Times New Roman"/>
          <w:color w:val="141412"/>
        </w:rPr>
        <w:t>.</w:t>
      </w:r>
    </w:p>
    <w:p w:rsidR="003C14D9" w:rsidRPr="003C14D9" w:rsidRDefault="003C14D9" w:rsidP="003C14D9">
      <w:pPr>
        <w:shd w:val="clear" w:color="auto" w:fill="FFFFFF"/>
        <w:spacing w:after="360" w:line="240" w:lineRule="auto"/>
        <w:rPr>
          <w:rFonts w:eastAsia="Times New Roman"/>
          <w:color w:val="141412"/>
        </w:rPr>
      </w:pPr>
      <w:r w:rsidRPr="003C14D9">
        <w:rPr>
          <w:rFonts w:eastAsia="Times New Roman"/>
          <w:color w:val="141412"/>
        </w:rPr>
        <w:lastRenderedPageBreak/>
        <w:t>Dodatkowo tzw. ustawa o zapobieganiu szkodom w środowisku i ich naprawie</w:t>
      </w:r>
      <w:bookmarkStart w:id="0" w:name="powrot1"/>
      <w:bookmarkEnd w:id="0"/>
      <w:r w:rsidRPr="003C14D9">
        <w:rPr>
          <w:rFonts w:eastAsia="Times New Roman"/>
          <w:color w:val="141412"/>
        </w:rPr>
        <w:t xml:space="preserve"> przewiduje, że w przypadku gdy w wyniku działalności podmiotu korzystającego ze środowiska temu środowisku może bezpośrednio zagrażać szkoda, to podmiot korzystający ze środowiska, podejmuje działania w celu jej zapobieżenia. W przypadku gdy szkoda już wystąpiła – podmiot korzystający ze środowiska podejmuje działania w celu jej naprawienia.</w:t>
      </w:r>
    </w:p>
    <w:p w:rsidR="003C14D9" w:rsidRPr="003C14D9" w:rsidRDefault="003C14D9" w:rsidP="003C14D9">
      <w:pPr>
        <w:shd w:val="clear" w:color="auto" w:fill="FFFFFF"/>
        <w:spacing w:after="360" w:line="240" w:lineRule="auto"/>
        <w:rPr>
          <w:rFonts w:eastAsia="Times New Roman"/>
          <w:color w:val="141412"/>
        </w:rPr>
      </w:pPr>
      <w:r w:rsidRPr="003C14D9">
        <w:rPr>
          <w:rFonts w:eastAsia="Times New Roman"/>
          <w:color w:val="141412"/>
        </w:rPr>
        <w:t>Działanie podmiotu korzystającego ze środowiska skutkuje prawie zawsze</w:t>
      </w:r>
      <w:r w:rsidRPr="003C14D9">
        <w:rPr>
          <w:rFonts w:eastAsia="Times New Roman"/>
          <w:b/>
          <w:bCs/>
          <w:i/>
          <w:iCs/>
          <w:color w:val="141412"/>
        </w:rPr>
        <w:t xml:space="preserve"> </w:t>
      </w:r>
      <w:r w:rsidRPr="003C14D9">
        <w:rPr>
          <w:rFonts w:eastAsia="Times New Roman"/>
          <w:color w:val="141412"/>
        </w:rPr>
        <w:t>bezpośrednim zagrożeniem szkodą, co oznacza wysokie prawdopodobieństwo wystąpienia szkody w środowisku w dającej się przewidzieć przyszłości. W takim przypadku podmiot korzystający ze środowiska jest zobowiązany podjąć działania zapobiegawcze.</w:t>
      </w:r>
    </w:p>
    <w:p w:rsidR="003C14D9" w:rsidRPr="003C14D9" w:rsidRDefault="003C14D9" w:rsidP="003C14D9">
      <w:pPr>
        <w:shd w:val="clear" w:color="auto" w:fill="FFFFFF"/>
        <w:spacing w:after="0" w:line="240" w:lineRule="auto"/>
        <w:rPr>
          <w:rFonts w:eastAsia="Times New Roman"/>
          <w:color w:val="141412"/>
        </w:rPr>
      </w:pPr>
      <w:r w:rsidRPr="003C14D9">
        <w:rPr>
          <w:rFonts w:eastAsia="Times New Roman"/>
          <w:color w:val="141412"/>
        </w:rPr>
        <w:t>Jeśli szkoda jednak wystąpiła, to zgodnie z ustawą szkodową, rozumie się przez nią negatywną, mierzalną zmianę stanu lub funkcji elementów przyrodniczych, ocenioną w stosunku do stanu początkowego, która została spowodowana bezpośrednio lub pośrednio przez działalność prowadzoną przez podmiot korzystający ze środowiska:</w:t>
      </w:r>
    </w:p>
    <w:p w:rsidR="003C14D9" w:rsidRPr="003C14D9" w:rsidRDefault="003C14D9" w:rsidP="003C14D9">
      <w:pPr>
        <w:numPr>
          <w:ilvl w:val="0"/>
          <w:numId w:val="3"/>
        </w:numPr>
        <w:shd w:val="clear" w:color="auto" w:fill="FFFFFF"/>
        <w:spacing w:after="0" w:line="240" w:lineRule="auto"/>
        <w:rPr>
          <w:rFonts w:eastAsia="Times New Roman"/>
          <w:color w:val="141412"/>
        </w:rPr>
      </w:pPr>
      <w:r w:rsidRPr="003C14D9">
        <w:rPr>
          <w:rFonts w:eastAsia="Times New Roman"/>
          <w:color w:val="141412"/>
        </w:rPr>
        <w:t xml:space="preserve">w gatunkach chronionych lub chronionych siedliskach przyrodniczych, mającą znaczący negatywny wpływ na osiągnięcie lub utrzymanie właściwego stanu ochrony tych gatunków lub siedlisk przyrodniczych, z tym że szkoda w gatunkach chronionych lub chronionych siedliskach przyrodniczych </w:t>
      </w:r>
      <w:r w:rsidRPr="003C14D9">
        <w:rPr>
          <w:rFonts w:eastAsia="Times New Roman"/>
          <w:bCs/>
          <w:color w:val="141412"/>
        </w:rPr>
        <w:t>nie obejmuje uprzednio zidentyfikowanego negatywnego wpływu, wynikającego z działania podmiotu korzystającego ze środowiska zgodnie z art. 34</w:t>
      </w:r>
      <w:r w:rsidRPr="003C14D9">
        <w:rPr>
          <w:rFonts w:eastAsia="Times New Roman"/>
          <w:color w:val="141412"/>
        </w:rPr>
        <w:t xml:space="preserve"> ustawy o ochronie przyrody lub zgodnie z decyzją o środowiskowych uwarunkowaniach, o której mowa w art. 71 ust. 1 ustawy o udostępnianiu informacji o środowisku i jego ochronie, udziale społeczeństwa w ochronie środowiska oraz o ocenach oddziaływania na środowisko</w:t>
      </w:r>
      <w:r w:rsidR="00082021">
        <w:rPr>
          <w:rFonts w:eastAsia="Times New Roman"/>
          <w:color w:val="141412"/>
        </w:rPr>
        <w:t>,</w:t>
      </w:r>
    </w:p>
    <w:p w:rsidR="003C14D9" w:rsidRPr="003C14D9" w:rsidRDefault="003C14D9" w:rsidP="003C14D9">
      <w:pPr>
        <w:numPr>
          <w:ilvl w:val="0"/>
          <w:numId w:val="3"/>
        </w:numPr>
        <w:shd w:val="clear" w:color="auto" w:fill="FFFFFF"/>
        <w:spacing w:after="0" w:line="240" w:lineRule="auto"/>
        <w:rPr>
          <w:rFonts w:eastAsia="Times New Roman"/>
          <w:color w:val="141412"/>
        </w:rPr>
      </w:pPr>
      <w:r w:rsidRPr="003C14D9">
        <w:rPr>
          <w:rFonts w:eastAsia="Times New Roman"/>
          <w:color w:val="141412"/>
        </w:rPr>
        <w:t>w wodach, mającą znaczący negatywny wpływ na stan ekologiczny, chemiczny lub ilościowy wód,</w:t>
      </w:r>
    </w:p>
    <w:p w:rsidR="003C14D9" w:rsidRPr="003C14D9" w:rsidRDefault="003C14D9" w:rsidP="003C14D9">
      <w:pPr>
        <w:numPr>
          <w:ilvl w:val="0"/>
          <w:numId w:val="3"/>
        </w:numPr>
        <w:shd w:val="clear" w:color="auto" w:fill="FFFFFF"/>
        <w:spacing w:after="0" w:line="240" w:lineRule="auto"/>
        <w:rPr>
          <w:rFonts w:eastAsia="Times New Roman"/>
          <w:color w:val="141412"/>
        </w:rPr>
      </w:pPr>
      <w:r w:rsidRPr="003C14D9">
        <w:rPr>
          <w:rFonts w:eastAsia="Times New Roman"/>
          <w:color w:val="141412"/>
        </w:rPr>
        <w:t>w powierzchni ziemi, przez co rozumie się zanieczyszczenie gleby lub ziemi, w tym w szczególności zanieczyszczenie mogące stanowić zagrożenie dla zdrowia ludzi.</w:t>
      </w:r>
      <w:r w:rsidRPr="003C14D9">
        <w:rPr>
          <w:rFonts w:eastAsia="Times New Roman"/>
          <w:b/>
          <w:bCs/>
          <w:i/>
          <w:iCs/>
          <w:color w:val="141412"/>
        </w:rPr>
        <w:t xml:space="preserve"> </w:t>
      </w:r>
    </w:p>
    <w:p w:rsidR="003C14D9" w:rsidRPr="003C14D9" w:rsidRDefault="003C14D9" w:rsidP="003C14D9">
      <w:pPr>
        <w:shd w:val="clear" w:color="auto" w:fill="FFFFFF"/>
        <w:spacing w:after="0" w:line="240" w:lineRule="auto"/>
        <w:rPr>
          <w:rFonts w:eastAsia="Times New Roman"/>
          <w:color w:val="141412"/>
        </w:rPr>
      </w:pPr>
      <w:r w:rsidRPr="003C14D9">
        <w:rPr>
          <w:rFonts w:eastAsia="Times New Roman"/>
          <w:color w:val="141412"/>
        </w:rPr>
        <w:t> </w:t>
      </w:r>
    </w:p>
    <w:p w:rsidR="003C14D9" w:rsidRPr="003C14D9" w:rsidRDefault="003C14D9" w:rsidP="003C14D9">
      <w:pPr>
        <w:shd w:val="clear" w:color="auto" w:fill="FFFFFF"/>
        <w:spacing w:after="0" w:line="240" w:lineRule="auto"/>
        <w:rPr>
          <w:rFonts w:eastAsia="Times New Roman"/>
          <w:color w:val="141412"/>
        </w:rPr>
      </w:pPr>
      <w:r w:rsidRPr="003C14D9">
        <w:rPr>
          <w:rFonts w:eastAsia="Times New Roman"/>
          <w:color w:val="141412"/>
        </w:rPr>
        <w:t>W przypadkach, gdy szkoda wystąpi, podmiot korzystający ze środowiska jest zobowiązany:</w:t>
      </w:r>
    </w:p>
    <w:p w:rsidR="003C14D9" w:rsidRPr="003C14D9" w:rsidRDefault="00082021" w:rsidP="003C14D9">
      <w:pPr>
        <w:numPr>
          <w:ilvl w:val="0"/>
          <w:numId w:val="5"/>
        </w:numPr>
        <w:shd w:val="clear" w:color="auto" w:fill="FFFFFF"/>
        <w:spacing w:after="0" w:line="240" w:lineRule="auto"/>
        <w:rPr>
          <w:rFonts w:eastAsia="Times New Roman"/>
          <w:color w:val="141412"/>
        </w:rPr>
      </w:pPr>
      <w:r>
        <w:rPr>
          <w:rFonts w:eastAsia="Times New Roman"/>
          <w:color w:val="141412"/>
        </w:rPr>
        <w:t xml:space="preserve">do </w:t>
      </w:r>
      <w:r w:rsidR="003C14D9" w:rsidRPr="003C14D9">
        <w:rPr>
          <w:rFonts w:eastAsia="Times New Roman"/>
          <w:color w:val="141412"/>
        </w:rPr>
        <w:t>podjęcia działań w celu ograniczenia szkody w środowisku, zapobieżenia kolejnym szkodom i negatywnym skutkom dla zdrowia ludzi lub dalszemu osłabieniu funkcji elementów przyrodniczych, w tym natychmiastowego skontrolowania, powstrzymania, usunięcia lub ograniczenia w inny sposób zanieczyszczeń lub innych szkodliwych czynników;</w:t>
      </w:r>
    </w:p>
    <w:p w:rsidR="003C14D9" w:rsidRDefault="00082021" w:rsidP="003C14D9">
      <w:pPr>
        <w:numPr>
          <w:ilvl w:val="0"/>
          <w:numId w:val="5"/>
        </w:numPr>
        <w:shd w:val="clear" w:color="auto" w:fill="FFFFFF"/>
        <w:spacing w:after="0" w:line="240" w:lineRule="auto"/>
        <w:rPr>
          <w:rFonts w:eastAsia="Times New Roman"/>
          <w:color w:val="141412"/>
        </w:rPr>
      </w:pPr>
      <w:r>
        <w:rPr>
          <w:rFonts w:eastAsia="Times New Roman"/>
          <w:color w:val="141412"/>
        </w:rPr>
        <w:t xml:space="preserve">do </w:t>
      </w:r>
      <w:r w:rsidR="003C14D9" w:rsidRPr="003C14D9">
        <w:rPr>
          <w:rFonts w:eastAsia="Times New Roman"/>
          <w:color w:val="141412"/>
        </w:rPr>
        <w:t>podjęcia działań naprawczych ustalonych z RDOŚ.</w:t>
      </w:r>
    </w:p>
    <w:p w:rsidR="003C14D9" w:rsidRPr="003C14D9" w:rsidRDefault="003C14D9" w:rsidP="003C14D9">
      <w:pPr>
        <w:shd w:val="clear" w:color="auto" w:fill="FFFFFF"/>
        <w:spacing w:after="0" w:line="240" w:lineRule="auto"/>
        <w:rPr>
          <w:rFonts w:eastAsia="Times New Roman"/>
          <w:color w:val="141412"/>
        </w:rPr>
      </w:pPr>
    </w:p>
    <w:p w:rsidR="003C14D9" w:rsidRDefault="003C14D9" w:rsidP="003C14D9">
      <w:pPr>
        <w:shd w:val="clear" w:color="auto" w:fill="FFFFFF"/>
        <w:spacing w:after="0" w:line="240" w:lineRule="auto"/>
        <w:rPr>
          <w:rFonts w:eastAsia="Times New Roman"/>
          <w:color w:val="141412"/>
        </w:rPr>
      </w:pPr>
      <w:r w:rsidRPr="003C14D9">
        <w:rPr>
          <w:rFonts w:eastAsia="Times New Roman"/>
          <w:color w:val="141412"/>
        </w:rPr>
        <w:t>Ustalając kolejność podejmowania działań naprawczych, organ ochrony środowiska kieruje się charakterem, zasięgiem i rozmiarem poszczególnych szkód w środowisku oraz zagrożeniem dla zdrowia ludzi, a także możliwością naturalnej naprawy elementów przyrodniczych na obszarze, na którym szkoda w środowisku wystąpiła. Koszty przeprowadzenia działań zapobiegawczych lub naprawczych ponosi podmiot korzystający ze środowiska.</w:t>
      </w:r>
      <w:r w:rsidR="00082021">
        <w:rPr>
          <w:rFonts w:eastAsia="Times New Roman"/>
          <w:color w:val="141412"/>
        </w:rPr>
        <w:t xml:space="preserve"> </w:t>
      </w:r>
      <w:bookmarkStart w:id="1" w:name="_GoBack"/>
      <w:bookmarkEnd w:id="1"/>
      <w:r w:rsidRPr="003C14D9">
        <w:rPr>
          <w:rFonts w:eastAsia="Times New Roman"/>
          <w:color w:val="141412"/>
        </w:rPr>
        <w:t>Rodzaje działań naprawczych zostały określone w Rozporządzeniu Ministra Środowiska z dnia 4 czerwca 2008 r. w sprawie rodzajów działań naprawczych oraz warunków i sposobu ich prowadzenia</w:t>
      </w:r>
      <w:bookmarkStart w:id="2" w:name="powrot2"/>
      <w:bookmarkEnd w:id="2"/>
      <w:r w:rsidRPr="003C14D9">
        <w:rPr>
          <w:rFonts w:eastAsia="Times New Roman"/>
          <w:color w:val="141412"/>
        </w:rPr>
        <w:t xml:space="preserve"> dzielą się one na podstawowe, uzupełniające i kompensacyjne.</w:t>
      </w:r>
    </w:p>
    <w:p w:rsidR="003C14D9" w:rsidRPr="003C14D9" w:rsidRDefault="003C14D9" w:rsidP="003C14D9">
      <w:pPr>
        <w:shd w:val="clear" w:color="auto" w:fill="FFFFFF"/>
        <w:spacing w:after="0" w:line="240" w:lineRule="auto"/>
        <w:rPr>
          <w:rFonts w:eastAsia="Times New Roman"/>
          <w:color w:val="141412"/>
        </w:rPr>
      </w:pPr>
    </w:p>
    <w:p w:rsidR="003C14D9" w:rsidRPr="003C14D9" w:rsidRDefault="003C14D9" w:rsidP="003C14D9">
      <w:pPr>
        <w:shd w:val="clear" w:color="auto" w:fill="FFFFFF"/>
        <w:spacing w:after="360" w:line="240" w:lineRule="auto"/>
        <w:rPr>
          <w:rFonts w:eastAsia="Times New Roman"/>
          <w:color w:val="141412"/>
        </w:rPr>
      </w:pPr>
      <w:r w:rsidRPr="003C14D9">
        <w:rPr>
          <w:rFonts w:eastAsia="Times New Roman"/>
          <w:color w:val="141412"/>
        </w:rPr>
        <w:t>Jeżeli podmiot korzystający ze środowiska nie podejmie działań zapobiegawczych</w:t>
      </w:r>
      <w:r>
        <w:rPr>
          <w:rFonts w:eastAsia="Times New Roman"/>
          <w:color w:val="141412"/>
        </w:rPr>
        <w:t xml:space="preserve">                                         </w:t>
      </w:r>
      <w:r w:rsidRPr="003C14D9">
        <w:rPr>
          <w:rFonts w:eastAsia="Times New Roman"/>
          <w:color w:val="141412"/>
        </w:rPr>
        <w:t xml:space="preserve"> i naprawczych, organ ochrony środowiska, w drodze decyzji, nakłada na niego obowiązek </w:t>
      </w:r>
      <w:r w:rsidRPr="003C14D9">
        <w:rPr>
          <w:rFonts w:eastAsia="Times New Roman"/>
          <w:color w:val="141412"/>
        </w:rPr>
        <w:lastRenderedPageBreak/>
        <w:t>przeprowadzenia tych działań. W przypadku gdy podmiot korzystający ze środowiska nie może zostać zidentyfikowany lub nie można wszcząć wobec niego postępowania egzekucyjnego, lub egzekucja okazała się bezskuteczna, a zagrożenie ma istotne znaczenie dla życia lub zdrowia ludzi lub występuje możliwość zaistnienia nieodwracalnych szkód w środowisku, to konieczne jest natychmiastowe podjęcie tych działań. W takim przypadku organ ochrony środowiska sam podejmuje działania zapobiegawcze lub naprawcze.</w:t>
      </w:r>
    </w:p>
    <w:p w:rsidR="00A962ED" w:rsidRPr="00590669" w:rsidRDefault="00A962ED" w:rsidP="00A962ED">
      <w:pPr>
        <w:spacing w:after="0"/>
      </w:pPr>
    </w:p>
    <w:p w:rsidR="00A962ED" w:rsidRPr="00A962ED" w:rsidRDefault="00A962ED" w:rsidP="00A962ED">
      <w:pPr>
        <w:spacing w:after="0"/>
      </w:pPr>
    </w:p>
    <w:sectPr w:rsidR="00A962ED" w:rsidRPr="00A962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A407E"/>
    <w:multiLevelType w:val="hybridMultilevel"/>
    <w:tmpl w:val="B71C37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264B3BE8"/>
    <w:multiLevelType w:val="hybridMultilevel"/>
    <w:tmpl w:val="F7B46F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49EE635C"/>
    <w:multiLevelType w:val="hybridMultilevel"/>
    <w:tmpl w:val="A072AD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91B0812"/>
    <w:multiLevelType w:val="multilevel"/>
    <w:tmpl w:val="A0F43F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4E2909"/>
    <w:multiLevelType w:val="hybridMultilevel"/>
    <w:tmpl w:val="F564C3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7EF261A3"/>
    <w:multiLevelType w:val="hybridMultilevel"/>
    <w:tmpl w:val="DE4236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D9"/>
    <w:rsid w:val="00082021"/>
    <w:rsid w:val="003C14D9"/>
    <w:rsid w:val="00590669"/>
    <w:rsid w:val="00A44161"/>
    <w:rsid w:val="00A962ED"/>
    <w:rsid w:val="00E6436B"/>
    <w:rsid w:val="00F549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119113">
      <w:bodyDiv w:val="1"/>
      <w:marLeft w:val="0"/>
      <w:marRight w:val="0"/>
      <w:marTop w:val="0"/>
      <w:marBottom w:val="0"/>
      <w:divBdr>
        <w:top w:val="none" w:sz="0" w:space="0" w:color="auto"/>
        <w:left w:val="none" w:sz="0" w:space="0" w:color="auto"/>
        <w:bottom w:val="none" w:sz="0" w:space="0" w:color="auto"/>
        <w:right w:val="none" w:sz="0" w:space="0" w:color="auto"/>
      </w:divBdr>
      <w:divsChild>
        <w:div w:id="312607523">
          <w:marLeft w:val="0"/>
          <w:marRight w:val="0"/>
          <w:marTop w:val="0"/>
          <w:marBottom w:val="0"/>
          <w:divBdr>
            <w:top w:val="none" w:sz="0" w:space="0" w:color="auto"/>
            <w:left w:val="none" w:sz="0" w:space="0" w:color="auto"/>
            <w:bottom w:val="none" w:sz="0" w:space="0" w:color="auto"/>
            <w:right w:val="none" w:sz="0" w:space="0" w:color="auto"/>
          </w:divBdr>
          <w:divsChild>
            <w:div w:id="69542378">
              <w:marLeft w:val="0"/>
              <w:marRight w:val="0"/>
              <w:marTop w:val="100"/>
              <w:marBottom w:val="100"/>
              <w:divBdr>
                <w:top w:val="none" w:sz="0" w:space="0" w:color="auto"/>
                <w:left w:val="none" w:sz="0" w:space="0" w:color="auto"/>
                <w:bottom w:val="none" w:sz="0" w:space="0" w:color="auto"/>
                <w:right w:val="none" w:sz="0" w:space="0" w:color="auto"/>
              </w:divBdr>
              <w:divsChild>
                <w:div w:id="367074363">
                  <w:marLeft w:val="0"/>
                  <w:marRight w:val="0"/>
                  <w:marTop w:val="0"/>
                  <w:marBottom w:val="0"/>
                  <w:divBdr>
                    <w:top w:val="none" w:sz="0" w:space="0" w:color="auto"/>
                    <w:left w:val="none" w:sz="0" w:space="0" w:color="auto"/>
                    <w:bottom w:val="none" w:sz="0" w:space="0" w:color="auto"/>
                    <w:right w:val="none" w:sz="0" w:space="0" w:color="auto"/>
                  </w:divBdr>
                  <w:divsChild>
                    <w:div w:id="1883710784">
                      <w:marLeft w:val="0"/>
                      <w:marRight w:val="0"/>
                      <w:marTop w:val="0"/>
                      <w:marBottom w:val="0"/>
                      <w:divBdr>
                        <w:top w:val="none" w:sz="0" w:space="0" w:color="auto"/>
                        <w:left w:val="none" w:sz="0" w:space="0" w:color="auto"/>
                        <w:bottom w:val="none" w:sz="0" w:space="0" w:color="auto"/>
                        <w:right w:val="none" w:sz="0" w:space="0" w:color="auto"/>
                      </w:divBdr>
                      <w:divsChild>
                        <w:div w:id="6540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zef.popiel\Desktop\Szablon%20WORD.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Szablon WORD</Template>
  <TotalTime>15</TotalTime>
  <Pages>3</Pages>
  <Words>1021</Words>
  <Characters>6132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Popiel</dc:creator>
  <cp:lastModifiedBy>Józef Popiel</cp:lastModifiedBy>
  <cp:revision>3</cp:revision>
  <dcterms:created xsi:type="dcterms:W3CDTF">2018-03-13T09:36:00Z</dcterms:created>
  <dcterms:modified xsi:type="dcterms:W3CDTF">2018-03-13T09:51:00Z</dcterms:modified>
</cp:coreProperties>
</file>